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776"/>
        <w:gridCol w:w="4311"/>
      </w:tblGrid>
      <w:tr w14:paraId="18A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6331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14:paraId="3F00C649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14:paraId="54CA9BA7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9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DB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14:paraId="41AB27A6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14:paraId="1FBEA1E2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П1ДПРИЭМСТВО «ЖИТЛОВО-</w:t>
            </w:r>
          </w:p>
          <w:p w14:paraId="5747952B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14:paraId="1CEF7BA1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14:paraId="1C3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E5D3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22A9F8B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14:paraId="2D93CCF7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14:paraId="71E17FF5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14:paraId="6208C0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78C8E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67CFD034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bookmarkStart w:id="0" w:name="_Hlk80001120"/>
      <w:r>
        <w:rPr>
          <w:rFonts w:ascii="Times New Roman" w:hAnsi="Times New Roman" w:cs="Times New Roman"/>
          <w:sz w:val="24"/>
          <w:szCs w:val="24"/>
        </w:rPr>
        <w:t xml:space="preserve">Из Протокола запроса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 для выполнения работ по 12.1 капитальному и 12.5 текущему  ремонту жилого фонда.</w:t>
      </w:r>
    </w:p>
    <w:p w14:paraId="6B12325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23.04.2025г.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/1</w:t>
      </w:r>
    </w:p>
    <w:bookmarkEnd w:id="0"/>
    <w:p w14:paraId="54666619">
      <w:pPr>
        <w:tabs>
          <w:tab w:val="center" w:pos="4677"/>
          <w:tab w:val="left" w:pos="7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 являющегося информационной системой в сфере закупок: https://zakupki.gospmr.org/index.php/zakupki?view=purchase&amp;id=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DB7A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31592193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контракта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29 510,64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7E6E6D75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201743E1">
      <w:pPr>
        <w:tabs>
          <w:tab w:val="left" w:pos="851"/>
        </w:tabs>
        <w:spacing w:after="0" w:line="0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Гарантийные условия - Качество товара соответствует  сертификатам качества.</w:t>
      </w:r>
    </w:p>
    <w:p w14:paraId="060DF13A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 Срок и условия поставки -</w:t>
      </w:r>
      <w:r>
        <w:rPr>
          <w:rFonts w:ascii="Times New Roman" w:hAnsi="Times New Roman" w:cs="Times New Roman"/>
          <w:sz w:val="24"/>
        </w:rPr>
        <w:t xml:space="preserve"> Поставка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Товара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pacing w:val="2"/>
          <w:sz w:val="24"/>
        </w:rPr>
        <w:t xml:space="preserve"> транспортом и за счет  </w:t>
      </w:r>
      <w:r>
        <w:rPr>
          <w:rFonts w:ascii="Times New Roman" w:hAnsi="Times New Roman" w:cs="Times New Roman"/>
          <w:sz w:val="24"/>
        </w:rPr>
        <w:t>Продавца.</w:t>
      </w:r>
    </w:p>
    <w:p w14:paraId="41B1364E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15.Результаты вскрытия конвертов на участие в запросе предложений. По итогам заседания Комиссии: в адрес МУП «ЖЭУК г.Днестровска» на участие в запросе предложений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ЛОТУ № 1  поступило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Комиссией выявлено, что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участниками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закупки  № 1, № 2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№ 3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ЛОТ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1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представлен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материал, который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соответствуют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техническим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характеристикам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установленным извещением и </w:t>
      </w:r>
      <w:bookmarkStart w:id="1" w:name="_GoBack"/>
      <w:r>
        <w:rPr>
          <w:rFonts w:ascii="Times New Roman" w:hAnsi="Times New Roman" w:cs="Times New Roman"/>
          <w:sz w:val="24"/>
          <w:szCs w:val="24"/>
          <w:highlight w:val="none"/>
        </w:rPr>
        <w:t>документацией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проведении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запроса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предложений.</w:t>
      </w:r>
      <w:r>
        <w:rPr>
          <w:rFonts w:ascii="Times New Roman" w:hAnsi="Times New Roman" w:cs="Times New Roman"/>
          <w:sz w:val="24"/>
          <w:szCs w:val="24"/>
          <w:highlight w:val="none"/>
        </w:rPr>
        <w:br w:type="textWrapping"/>
      </w:r>
      <w:bookmarkEnd w:id="1"/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Участники закупки № 1, № 2, № 3  не допущены к участию в запросе предложения по ЛОТУ № 1, в связи с тем,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представленный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материал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соответствуют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техническим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характеристикам</w:t>
      </w:r>
      <w:r>
        <w:rPr>
          <w:rFonts w:ascii="Times New Roman" w:hAnsi="Times New Roman" w:cs="Times New Roman"/>
          <w:sz w:val="24"/>
          <w:szCs w:val="24"/>
          <w:highlight w:val="none"/>
        </w:rPr>
        <w:t>,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установленным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извещением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документацией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проведении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запроса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предложений.</w:t>
      </w:r>
      <w:r>
        <w:rPr>
          <w:rFonts w:ascii="Times New Roman" w:hAnsi="Times New Roman" w:cs="Times New Roman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ЛОТУ № 2  поступило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Заявки участников соответствуют требованиям, установленным </w:t>
      </w:r>
      <w:r>
        <w:rPr>
          <w:rFonts w:ascii="Times New Roman" w:hAnsi="Times New Roman" w:cs="Times New Roman"/>
          <w:sz w:val="24"/>
          <w:szCs w:val="24"/>
          <w:highlight w:val="none"/>
        </w:rPr>
        <w:t>извещением и документацией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проведении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запроса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предложений.</w:t>
      </w:r>
      <w:r>
        <w:rPr>
          <w:rFonts w:ascii="Times New Roman" w:hAnsi="Times New Roman" w:cs="Times New Roman"/>
          <w:sz w:val="24"/>
          <w:szCs w:val="24"/>
          <w:highlight w:val="none"/>
        </w:rPr>
        <w:br w:type="textWrapping"/>
      </w:r>
    </w:p>
    <w:p w14:paraId="2F2900B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Бадюл М.Ю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color="auto" w:sz="4" w:space="0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color="auto" w:sz="4" w:space="0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МУП «ЖЭУК г.Днестровска»     </w:t>
      </w:r>
    </w:p>
    <w:p w14:paraId="2E29A93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426" w:right="850" w:bottom="1134" w:left="1701" w:header="708" w:footer="708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2D738F7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6840" w:h="11904" w:orient="landscape"/>
      <w:pgMar w:top="709" w:right="558" w:bottom="1440" w:left="980" w:header="0" w:footer="0" w:gutter="0"/>
      <w:cols w:equalWidth="0" w:num="1">
        <w:col w:w="1530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E41FCB"/>
    <w:rsid w:val="00E95F42"/>
    <w:rsid w:val="00EC2381"/>
    <w:rsid w:val="00EE6848"/>
    <w:rsid w:val="00F079A3"/>
    <w:rsid w:val="00FE34AB"/>
    <w:rsid w:val="00FF0C0B"/>
    <w:rsid w:val="00FF5F33"/>
    <w:rsid w:val="00FF62F5"/>
    <w:rsid w:val="01B74450"/>
    <w:rsid w:val="099730C7"/>
    <w:rsid w:val="0E6971B2"/>
    <w:rsid w:val="11E13237"/>
    <w:rsid w:val="131F396E"/>
    <w:rsid w:val="1A820DB9"/>
    <w:rsid w:val="244A60BF"/>
    <w:rsid w:val="2B753F19"/>
    <w:rsid w:val="2FDC3FF6"/>
    <w:rsid w:val="35AF7E69"/>
    <w:rsid w:val="3D022D09"/>
    <w:rsid w:val="41040EC9"/>
    <w:rsid w:val="49C2684F"/>
    <w:rsid w:val="49CC0A6C"/>
    <w:rsid w:val="4B826538"/>
    <w:rsid w:val="4C2F1EBB"/>
    <w:rsid w:val="4F7B184D"/>
    <w:rsid w:val="4FB16D38"/>
    <w:rsid w:val="5CF117D1"/>
    <w:rsid w:val="61B9080E"/>
    <w:rsid w:val="625977FB"/>
    <w:rsid w:val="6B3262E2"/>
    <w:rsid w:val="6B3D668D"/>
    <w:rsid w:val="6E947F5D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977</Words>
  <Characters>5569</Characters>
  <Lines>46</Lines>
  <Paragraphs>13</Paragraphs>
  <TotalTime>1</TotalTime>
  <ScaleCrop>false</ScaleCrop>
  <LinksUpToDate>false</LinksUpToDate>
  <CharactersWithSpaces>6533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2021-04-05T10:40:00Z</dcterms:created>
  <dc:creator>Admin</dc:creator>
  <cp:lastModifiedBy>Hi-tech</cp:lastModifiedBy>
  <cp:lastPrinted>2025-04-23T13:11:10Z</cp:lastPrinted>
  <dcterms:modified xsi:type="dcterms:W3CDTF">2025-04-23T13:11:16Z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EB85BFE3CBB742988F5755B4BB0B928C</vt:lpwstr>
  </property>
</Properties>
</file>